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49</w:t>
      </w:r>
    </w:p>
    <w:p>
      <w:r>
        <w:t>Bundesgericht (BGE), 2004-12-16, DE</w:t>
      </w:r>
    </w:p>
    <w:p>
      <w:r>
        <w:rPr>
          <w:b/>
        </w:rPr>
        <w:t xml:space="preserve">Quelle: </w:t>
      </w:r>
      <w:r>
        <w:t>https://mcp.opencaselaw.ch/entscheid/bge_131 V 49</w:t>
      </w:r>
    </w:p>
    <w:p>
      <w:r>
        <w:t>FR: ATF 131 V 49</w:t>
      </w:r>
    </w:p>
    <w:p>
      <w:r>
        <w:t>IT: DTF 131 V 49</w:t>
      </w:r>
    </w:p>
    <w:p>
      <w:pPr>
        <w:pStyle w:val="Heading2"/>
      </w:pPr>
      <w:r>
        <w:t>Regeste</w:t>
      </w:r>
    </w:p>
    <w:p>
      <w:r>
        <w:t>Regeste Art. 4 Abs. 1 IVG (in der bis 31. Dezember 2002 gültig gewesenen Fassung); Art. 4 Abs. 1 IVG (in der seit 1. Januar 2003 geltenden Fassung) in Verbindung mit Art. 8 Abs. 1 ATSG: Somatoforme Schmerzstörungen und Invaliditätsbegriff. Die Prüfung der invalidisierenden Wirkung von Schmerzstörungen setzt eine gesamthafte Prüfung der Sachlage nach den in BGE 130 V 352 formulierten Kriterien voraus; mit zu berücksichtigen sind dabei auch Aspekte, welche gegen eine Leistungspflicht der Invalidenversicherung sprechen. (Erw. 1.2)</w:t>
      </w:r>
    </w:p>
    <w:p>
      <w:pPr>
        <w:pStyle w:val="Heading2"/>
      </w:pPr>
      <w:r>
        <w:t>Erwägungen</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AHI 2001 S. 228 Erw. 2b mit Hinweisen; vgl. auch BGE 127 V 298 Erw. 4c in fine). Die Annahme eines psychischen Gesundheitsschadens, so auch einer anhaltenden somatoformen Schmerzstörung, setzt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BGE 131 V 49 S. 51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namentlich für den Einkommensvergleich in der Invaliditätsbemessung, in: SCHAFFHAUSER/ Schlauri [Hrsg.], Schmerz und Arbeitsunfähigkeit, St. Gallen 2003, S. 77). 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